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default" w:ascii="仿宋" w:hAnsi="仿宋" w:eastAsia="仿宋" w:cs="Calibri"/>
          <w:b/>
          <w:sz w:val="28"/>
          <w:szCs w:val="28"/>
        </w:rPr>
      </w:pPr>
      <w:r>
        <w:rPr>
          <w:rFonts w:hint="default" w:ascii="仿宋" w:hAnsi="仿宋" w:eastAsia="仿宋" w:cs="Calibri"/>
          <w:b/>
          <w:sz w:val="28"/>
          <w:szCs w:val="28"/>
        </w:rPr>
        <w:t>上海证券交易所科创板科创成长层企业股票投资风险揭示书</w:t>
      </w:r>
    </w:p>
    <w:p>
      <w:pPr>
        <w:spacing w:line="336" w:lineRule="auto"/>
        <w:jc w:val="center"/>
        <w:rPr>
          <w:rFonts w:ascii="仿宋" w:hAnsi="仿宋" w:eastAsia="仿宋"/>
          <w:b/>
          <w:sz w:val="24"/>
        </w:rPr>
      </w:pPr>
      <w:r>
        <w:rPr>
          <w:rFonts w:hint="eastAsia" w:ascii="仿宋" w:hAnsi="仿宋" w:eastAsia="仿宋"/>
          <w:b/>
          <w:sz w:val="24"/>
        </w:rPr>
        <w:t>（2</w:t>
      </w:r>
      <w:r>
        <w:rPr>
          <w:rFonts w:ascii="仿宋" w:hAnsi="仿宋" w:eastAsia="仿宋"/>
          <w:b/>
          <w:sz w:val="24"/>
        </w:rPr>
        <w:t>02</w:t>
      </w:r>
      <w:r>
        <w:rPr>
          <w:rFonts w:hint="eastAsia" w:ascii="仿宋" w:hAnsi="仿宋" w:eastAsia="仿宋"/>
          <w:b/>
          <w:sz w:val="24"/>
          <w:lang w:val="en-US" w:eastAsia="zh-CN"/>
        </w:rPr>
        <w:t>5</w:t>
      </w:r>
      <w:r>
        <w:rPr>
          <w:rFonts w:hint="eastAsia" w:ascii="仿宋" w:hAnsi="仿宋" w:eastAsia="仿宋"/>
          <w:b/>
          <w:sz w:val="24"/>
        </w:rPr>
        <w:t>年</w:t>
      </w:r>
      <w:r>
        <w:rPr>
          <w:rFonts w:hint="eastAsia" w:ascii="仿宋" w:hAnsi="仿宋" w:eastAsia="仿宋"/>
          <w:b/>
          <w:sz w:val="24"/>
          <w:lang w:val="en-US" w:eastAsia="zh-CN"/>
        </w:rPr>
        <w:t>7</w:t>
      </w:r>
      <w:r>
        <w:rPr>
          <w:rFonts w:hint="eastAsia" w:ascii="仿宋" w:hAnsi="仿宋" w:eastAsia="仿宋"/>
          <w:b/>
          <w:sz w:val="24"/>
        </w:rPr>
        <w:t>月）</w:t>
      </w:r>
    </w:p>
    <w:p>
      <w:pPr>
        <w:shd w:val="clear" w:color="auto" w:fill="FFFFFF"/>
        <w:adjustRightInd w:val="0"/>
        <w:snapToGrid w:val="0"/>
        <w:spacing w:line="360" w:lineRule="auto"/>
        <w:rPr>
          <w:rFonts w:ascii="仿宋" w:hAnsi="仿宋" w:eastAsia="仿宋"/>
          <w:sz w:val="24"/>
        </w:rPr>
      </w:pPr>
      <w:r>
        <w:rPr>
          <w:rFonts w:hint="eastAsia" w:ascii="仿宋" w:hAnsi="仿宋" w:eastAsia="仿宋"/>
          <w:sz w:val="24"/>
        </w:rPr>
        <w:t>尊敬的投资者：</w:t>
      </w:r>
    </w:p>
    <w:p>
      <w:pPr>
        <w:spacing w:line="360" w:lineRule="auto"/>
        <w:ind w:firstLine="480" w:firstLineChars="200"/>
        <w:jc w:val="both"/>
        <w:rPr>
          <w:rFonts w:hint="eastAsia" w:ascii="仿宋" w:hAnsi="仿宋" w:eastAsia="仿宋"/>
          <w:sz w:val="24"/>
        </w:rPr>
      </w:pPr>
      <w:r>
        <w:rPr>
          <w:rFonts w:hint="eastAsia" w:ascii="仿宋" w:hAnsi="仿宋" w:eastAsia="仿宋"/>
          <w:sz w:val="24"/>
        </w:rPr>
        <w:t>为了使</w:t>
      </w:r>
      <w:r>
        <w:rPr>
          <w:rFonts w:hint="eastAsia" w:ascii="仿宋" w:hAnsi="仿宋" w:eastAsia="仿宋"/>
          <w:sz w:val="24"/>
          <w:lang w:val="en-US" w:eastAsia="zh-CN"/>
        </w:rPr>
        <w:t>投资者</w:t>
      </w:r>
      <w:r>
        <w:rPr>
          <w:rFonts w:hint="eastAsia" w:ascii="仿宋" w:hAnsi="仿宋" w:eastAsia="仿宋"/>
          <w:sz w:val="24"/>
        </w:rPr>
        <w:t>充分了解上海证券交易所（以下简称上交所）</w:t>
      </w:r>
      <w:r>
        <w:rPr>
          <w:rFonts w:hint="eastAsia" w:ascii="仿宋" w:hAnsi="仿宋" w:eastAsia="仿宋"/>
          <w:sz w:val="24"/>
          <w:lang w:val="en-US" w:eastAsia="zh-CN"/>
        </w:rPr>
        <w:t>科创板科创成长层企业股票或存托凭证（以下统称科创成</w:t>
      </w:r>
      <w:bookmarkStart w:id="0" w:name="_GoBack"/>
      <w:bookmarkEnd w:id="0"/>
      <w:r>
        <w:rPr>
          <w:rFonts w:hint="eastAsia" w:ascii="仿宋" w:hAnsi="仿宋" w:eastAsia="仿宋"/>
          <w:sz w:val="24"/>
          <w:lang w:val="en-US" w:eastAsia="zh-CN"/>
        </w:rPr>
        <w:t>长层股票）交易（含发行申购）的相关风险</w:t>
      </w:r>
      <w:r>
        <w:rPr>
          <w:rFonts w:hint="eastAsia" w:ascii="仿宋" w:hAnsi="仿宋" w:eastAsia="仿宋"/>
          <w:sz w:val="24"/>
        </w:rPr>
        <w:t>，</w:t>
      </w:r>
      <w:r>
        <w:rPr>
          <w:rFonts w:hint="eastAsia" w:ascii="仿宋" w:hAnsi="仿宋" w:eastAsia="仿宋"/>
          <w:sz w:val="24"/>
          <w:lang w:val="en-US" w:eastAsia="zh-CN"/>
        </w:rPr>
        <w:t>我司</w:t>
      </w:r>
      <w:r>
        <w:rPr>
          <w:rFonts w:hint="eastAsia" w:ascii="仿宋" w:hAnsi="仿宋" w:eastAsia="仿宋"/>
          <w:sz w:val="24"/>
        </w:rPr>
        <w:t>制定了《上海证券交易所科创板科创成长层企业股票投资风险揭示书》（以下简称《风险揭示书》）</w:t>
      </w:r>
      <w:r>
        <w:rPr>
          <w:rFonts w:hint="eastAsia" w:ascii="仿宋" w:hAnsi="仿宋" w:eastAsia="仿宋"/>
          <w:sz w:val="24"/>
          <w:lang w:eastAsia="zh-CN"/>
        </w:rPr>
        <w:t>，向已签署《上海证券交易所科创板股票交易风险揭示书》</w:t>
      </w:r>
      <w:r>
        <w:rPr>
          <w:rFonts w:hint="eastAsia" w:ascii="仿宋" w:hAnsi="仿宋" w:eastAsia="仿宋"/>
          <w:sz w:val="24"/>
        </w:rPr>
        <w:t>（以下简称《</w:t>
      </w:r>
      <w:r>
        <w:rPr>
          <w:rFonts w:hint="eastAsia" w:ascii="仿宋" w:hAnsi="仿宋" w:eastAsia="仿宋"/>
          <w:sz w:val="24"/>
          <w:lang w:val="en-US" w:eastAsia="zh-CN"/>
        </w:rPr>
        <w:t>科创板</w:t>
      </w:r>
      <w:r>
        <w:rPr>
          <w:rFonts w:hint="eastAsia" w:ascii="仿宋" w:hAnsi="仿宋" w:eastAsia="仿宋"/>
          <w:sz w:val="24"/>
        </w:rPr>
        <w:t>风险揭示书》）</w:t>
      </w:r>
      <w:r>
        <w:rPr>
          <w:rFonts w:hint="eastAsia" w:ascii="仿宋" w:hAnsi="仿宋" w:eastAsia="仿宋"/>
          <w:sz w:val="24"/>
          <w:lang w:val="en-US" w:eastAsia="zh-CN"/>
        </w:rPr>
        <w:t>或《上海证券交易所科创板股票融资融券交易风险揭示书》</w:t>
      </w:r>
      <w:r>
        <w:rPr>
          <w:rFonts w:hint="eastAsia" w:ascii="仿宋" w:hAnsi="仿宋" w:eastAsia="仿宋"/>
          <w:sz w:val="24"/>
        </w:rPr>
        <w:t>（以下简称《</w:t>
      </w:r>
      <w:r>
        <w:rPr>
          <w:rFonts w:hint="eastAsia" w:ascii="仿宋" w:hAnsi="仿宋" w:eastAsia="仿宋"/>
          <w:sz w:val="24"/>
          <w:lang w:val="en-US" w:eastAsia="zh-CN"/>
        </w:rPr>
        <w:t>科创板融资融券</w:t>
      </w:r>
      <w:r>
        <w:rPr>
          <w:rFonts w:hint="eastAsia" w:ascii="仿宋" w:hAnsi="仿宋" w:eastAsia="仿宋"/>
          <w:sz w:val="24"/>
        </w:rPr>
        <w:t>风险揭示书》）</w:t>
      </w:r>
      <w:r>
        <w:rPr>
          <w:rFonts w:hint="eastAsia" w:ascii="仿宋" w:hAnsi="仿宋" w:eastAsia="仿宋"/>
          <w:sz w:val="24"/>
          <w:lang w:eastAsia="zh-CN"/>
        </w:rPr>
        <w:t>的投资者专门提示参与科创成长层股票交易的相关风险</w:t>
      </w:r>
      <w:r>
        <w:rPr>
          <w:rFonts w:hint="eastAsia" w:ascii="仿宋" w:hAnsi="仿宋" w:eastAsia="仿宋"/>
          <w:sz w:val="24"/>
        </w:rPr>
        <w:t>。</w:t>
      </w:r>
    </w:p>
    <w:p>
      <w:pPr>
        <w:spacing w:line="360" w:lineRule="auto"/>
        <w:ind w:firstLine="480" w:firstLineChars="200"/>
        <w:jc w:val="both"/>
        <w:rPr>
          <w:rFonts w:hint="eastAsia" w:ascii="仿宋" w:hAnsi="仿宋" w:eastAsia="仿宋"/>
          <w:sz w:val="24"/>
        </w:rPr>
      </w:pPr>
      <w:r>
        <w:rPr>
          <w:rFonts w:hint="eastAsia" w:ascii="仿宋" w:hAnsi="仿宋" w:eastAsia="仿宋"/>
          <w:sz w:val="24"/>
        </w:rPr>
        <w:t>请您认真阅读并签署</w:t>
      </w:r>
      <w:r>
        <w:rPr>
          <w:rFonts w:hint="eastAsia" w:ascii="仿宋" w:hAnsi="仿宋" w:eastAsia="仿宋"/>
          <w:sz w:val="24"/>
          <w:lang w:val="en-US" w:eastAsia="zh-CN"/>
        </w:rPr>
        <w:t>本</w:t>
      </w:r>
      <w:r>
        <w:rPr>
          <w:rFonts w:hint="eastAsia" w:ascii="仿宋" w:hAnsi="仿宋" w:eastAsia="仿宋"/>
          <w:sz w:val="24"/>
        </w:rPr>
        <w:t>《风险揭示书》，</w:t>
      </w:r>
      <w:r>
        <w:rPr>
          <w:rFonts w:hint="eastAsia" w:ascii="仿宋" w:hAnsi="仿宋" w:eastAsia="仿宋"/>
          <w:sz w:val="24"/>
          <w:lang w:val="en-US" w:eastAsia="zh-CN"/>
        </w:rPr>
        <w:t>本</w:t>
      </w:r>
      <w:r>
        <w:rPr>
          <w:rFonts w:hint="eastAsia" w:ascii="仿宋" w:hAnsi="仿宋" w:eastAsia="仿宋"/>
          <w:sz w:val="24"/>
        </w:rPr>
        <w:t>《风险揭示书》并不能揭示</w:t>
      </w:r>
      <w:r>
        <w:rPr>
          <w:rFonts w:hint="eastAsia" w:ascii="仿宋" w:hAnsi="仿宋" w:eastAsia="仿宋"/>
          <w:sz w:val="24"/>
          <w:lang w:val="en-US" w:eastAsia="zh-CN"/>
        </w:rPr>
        <w:t>科创成长层股票交易</w:t>
      </w:r>
      <w:r>
        <w:rPr>
          <w:rFonts w:hint="eastAsia" w:ascii="仿宋" w:hAnsi="仿宋" w:eastAsia="仿宋"/>
          <w:sz w:val="24"/>
        </w:rPr>
        <w:t>的所有风险,</w:t>
      </w:r>
      <w:r>
        <w:rPr>
          <w:rFonts w:hint="eastAsia" w:ascii="仿宋" w:hAnsi="仿宋" w:eastAsia="仿宋"/>
          <w:sz w:val="24"/>
          <w:lang w:val="en-US" w:eastAsia="zh-CN"/>
        </w:rPr>
        <w:t>您</w:t>
      </w:r>
      <w:r>
        <w:rPr>
          <w:rFonts w:hint="eastAsia" w:ascii="仿宋" w:hAnsi="仿宋" w:eastAsia="仿宋"/>
          <w:sz w:val="24"/>
        </w:rPr>
        <w:t>务必对此有清醒的认识，认真考虑是否参与</w:t>
      </w:r>
      <w:r>
        <w:rPr>
          <w:rFonts w:hint="eastAsia" w:ascii="仿宋" w:hAnsi="仿宋" w:eastAsia="仿宋"/>
          <w:sz w:val="24"/>
          <w:lang w:val="en-US" w:eastAsia="zh-CN"/>
        </w:rPr>
        <w:t>科创成长层股票</w:t>
      </w:r>
      <w:r>
        <w:rPr>
          <w:rFonts w:hint="eastAsia" w:ascii="仿宋" w:hAnsi="仿宋" w:eastAsia="仿宋"/>
          <w:sz w:val="24"/>
        </w:rPr>
        <w:t>交易。</w:t>
      </w:r>
    </w:p>
    <w:p>
      <w:pPr>
        <w:spacing w:line="360" w:lineRule="auto"/>
        <w:ind w:firstLine="480" w:firstLineChars="200"/>
        <w:jc w:val="both"/>
        <w:rPr>
          <w:rFonts w:hint="default" w:ascii="Segoe UI" w:hAnsi="Segoe UI" w:eastAsia="Segoe UI" w:cs="Segoe UI"/>
          <w:i w:val="0"/>
          <w:iCs w:val="0"/>
          <w:caps w:val="0"/>
          <w:color w:val="4D4D4D"/>
          <w:spacing w:val="0"/>
          <w:sz w:val="17"/>
          <w:szCs w:val="17"/>
          <w:shd w:val="clear" w:fill="FFFFFF"/>
        </w:rPr>
      </w:pPr>
      <w:r>
        <w:rPr>
          <w:rFonts w:hint="eastAsia" w:ascii="仿宋" w:hAnsi="仿宋" w:eastAsia="仿宋"/>
          <w:sz w:val="24"/>
          <w:lang w:val="en-US" w:eastAsia="zh-CN"/>
        </w:rPr>
        <w:t>科创成长层股票</w:t>
      </w:r>
      <w:r>
        <w:rPr>
          <w:rFonts w:hint="eastAsia" w:ascii="仿宋" w:hAnsi="仿宋" w:eastAsia="仿宋"/>
          <w:sz w:val="24"/>
        </w:rPr>
        <w:t>交易风险事项提示具体如下：</w:t>
      </w:r>
    </w:p>
    <w:p>
      <w:pPr>
        <w:spacing w:line="360" w:lineRule="auto"/>
        <w:ind w:firstLine="480" w:firstLineChars="200"/>
        <w:jc w:val="both"/>
        <w:rPr>
          <w:rFonts w:hint="eastAsia" w:ascii="仿宋" w:hAnsi="仿宋" w:eastAsia="仿宋"/>
          <w:sz w:val="24"/>
          <w:lang w:val="en-US" w:eastAsia="zh-CN"/>
        </w:rPr>
      </w:pPr>
      <w:r>
        <w:rPr>
          <w:rFonts w:hint="eastAsia" w:ascii="仿宋" w:hAnsi="仿宋" w:eastAsia="仿宋"/>
          <w:sz w:val="24"/>
          <w:lang w:val="en-US" w:eastAsia="zh-CN"/>
        </w:rPr>
        <w:t>一、投资者在参与科创成长层股票交易前，应充分知悉科创成长层股票</w:t>
      </w:r>
      <w:r>
        <w:rPr>
          <w:rFonts w:hint="eastAsia" w:ascii="仿宋" w:hAnsi="仿宋" w:eastAsia="仿宋"/>
          <w:sz w:val="24"/>
        </w:rPr>
        <w:t>发行、上市、交易、持续监管等相关制度安排</w:t>
      </w:r>
      <w:r>
        <w:rPr>
          <w:rFonts w:hint="eastAsia" w:ascii="仿宋" w:hAnsi="仿宋" w:eastAsia="仿宋"/>
          <w:sz w:val="24"/>
          <w:lang w:val="en-US" w:eastAsia="zh-CN"/>
        </w:rPr>
        <w:t>，了解相关上市公司的基本面情况，并根据自身财务状况、实际需求及风险承受能力等，审慎考虑是否买入科创成长层股票。</w:t>
      </w:r>
    </w:p>
    <w:p>
      <w:pPr>
        <w:spacing w:line="360" w:lineRule="auto"/>
        <w:ind w:firstLine="480" w:firstLineChars="200"/>
        <w:jc w:val="both"/>
        <w:rPr>
          <w:rFonts w:hint="eastAsia" w:ascii="仿宋" w:hAnsi="仿宋" w:eastAsia="仿宋"/>
          <w:sz w:val="24"/>
          <w:lang w:val="en-US" w:eastAsia="zh-CN"/>
        </w:rPr>
      </w:pPr>
      <w:r>
        <w:rPr>
          <w:rFonts w:hint="eastAsia" w:ascii="仿宋" w:hAnsi="仿宋" w:eastAsia="仿宋"/>
          <w:sz w:val="24"/>
          <w:lang w:val="en-US" w:eastAsia="zh-CN"/>
        </w:rPr>
        <w:t>二、</w:t>
      </w:r>
      <w:r>
        <w:rPr>
          <w:rFonts w:hint="eastAsia" w:ascii="仿宋" w:hAnsi="仿宋" w:eastAsia="仿宋"/>
          <w:sz w:val="24"/>
        </w:rPr>
        <w:t>科创成长层</w:t>
      </w:r>
      <w:r>
        <w:rPr>
          <w:rFonts w:hint="eastAsia" w:ascii="仿宋" w:hAnsi="仿宋" w:eastAsia="仿宋"/>
          <w:sz w:val="24"/>
          <w:lang w:val="en-US" w:eastAsia="zh-CN"/>
        </w:rPr>
        <w:t>企业</w:t>
      </w:r>
      <w:r>
        <w:rPr>
          <w:rFonts w:hint="eastAsia" w:ascii="仿宋" w:hAnsi="仿宋" w:eastAsia="仿宋"/>
          <w:sz w:val="24"/>
        </w:rPr>
        <w:t>上市时处于未盈利阶段</w:t>
      </w:r>
      <w:r>
        <w:rPr>
          <w:rFonts w:hint="eastAsia" w:ascii="仿宋" w:hAnsi="仿宋" w:eastAsia="仿宋"/>
          <w:sz w:val="24"/>
          <w:lang w:eastAsia="zh-CN"/>
        </w:rPr>
        <w:t>，且由于技术研发、市场验证、规模化生产等阶段可能耗时较长，</w:t>
      </w:r>
      <w:r>
        <w:rPr>
          <w:rFonts w:hint="eastAsia" w:ascii="仿宋" w:hAnsi="仿宋" w:eastAsia="仿宋"/>
          <w:sz w:val="24"/>
          <w:lang w:val="en-US" w:eastAsia="zh-CN"/>
        </w:rPr>
        <w:t>上市后收入及盈利改善等仍具有较大不确定性。企业可能因为难以改善其收入状况和盈利状况，资金链出现断裂，导致难以持续稳定投入研发，进而影响公司的持续经营能力，无法进行利润分配。投资者应当充分关注并冷静看待科创成长层企业尚未盈利的风险，通过科学的方法和工具有效管理风险、获取收益。</w:t>
      </w:r>
    </w:p>
    <w:p>
      <w:pPr>
        <w:spacing w:line="360" w:lineRule="auto"/>
        <w:ind w:firstLine="480" w:firstLineChars="200"/>
        <w:jc w:val="both"/>
        <w:rPr>
          <w:rFonts w:hint="default" w:ascii="仿宋" w:hAnsi="仿宋" w:eastAsia="仿宋"/>
          <w:sz w:val="24"/>
          <w:lang w:val="en-US" w:eastAsia="zh-CN"/>
        </w:rPr>
      </w:pPr>
      <w:r>
        <w:rPr>
          <w:rFonts w:hint="eastAsia" w:ascii="仿宋" w:hAnsi="仿宋" w:eastAsia="仿宋"/>
          <w:sz w:val="24"/>
          <w:lang w:val="en-US" w:eastAsia="zh-CN"/>
        </w:rPr>
        <w:t>三、</w:t>
      </w:r>
      <w:r>
        <w:rPr>
          <w:rFonts w:hint="eastAsia" w:ascii="仿宋" w:hAnsi="仿宋" w:eastAsia="仿宋"/>
          <w:sz w:val="24"/>
        </w:rPr>
        <w:t>科创成长层</w:t>
      </w:r>
      <w:r>
        <w:rPr>
          <w:rFonts w:hint="eastAsia" w:ascii="仿宋" w:hAnsi="仿宋" w:eastAsia="仿宋"/>
          <w:sz w:val="24"/>
          <w:lang w:val="en-US" w:eastAsia="zh-CN"/>
        </w:rPr>
        <w:t>企业往往具有研发投入规模大、技术迭代快、回报周期长以及严重依赖核心项目、核心技术人员等特点，企业上市后的持续创新能力具有较大不确定性。企业可能因研发技术路线出现偏差、研发投入过高、研发进程缓慢而导致研发失败，或者研发成果未能受到市场认可，或者相关技术未能形成产品或未能实现产业化，导致企业大量的研发投入无法产生预期的效果，进而对企业的持续经营等方面造成不利影响。投资者应当关注相关风险。</w:t>
      </w:r>
    </w:p>
    <w:p>
      <w:pPr>
        <w:spacing w:line="360" w:lineRule="auto"/>
        <w:ind w:firstLine="480" w:firstLineChars="200"/>
        <w:jc w:val="both"/>
        <w:rPr>
          <w:rFonts w:hint="eastAsia" w:ascii="仿宋" w:hAnsi="仿宋" w:eastAsia="仿宋"/>
          <w:sz w:val="24"/>
          <w:lang w:val="en-US" w:eastAsia="zh-CN"/>
        </w:rPr>
      </w:pPr>
      <w:r>
        <w:rPr>
          <w:rFonts w:hint="eastAsia" w:ascii="仿宋" w:hAnsi="仿宋" w:eastAsia="仿宋"/>
          <w:sz w:val="24"/>
          <w:lang w:val="en-US" w:eastAsia="zh-CN"/>
        </w:rPr>
        <w:t>四、科创成长层新股发行采用询价定价方式发行，而个人投资者无法直接参与询价。同时，科创成长层企业可能具有技术新、前景不确定、业绩波动大、风险高等特征，市场可比公司较少，传统估值方法可能不适用，发行定价难度较大，上市后可能存在股价波动的风险。投资者应当在申购环节充分知悉相关风险。</w:t>
      </w:r>
    </w:p>
    <w:p>
      <w:pPr>
        <w:spacing w:line="360" w:lineRule="auto"/>
        <w:ind w:firstLine="480" w:firstLineChars="200"/>
        <w:jc w:val="both"/>
        <w:rPr>
          <w:rFonts w:hint="eastAsia" w:ascii="仿宋" w:hAnsi="仿宋" w:eastAsia="仿宋"/>
          <w:sz w:val="24"/>
          <w:lang w:val="en-US" w:eastAsia="zh-CN"/>
        </w:rPr>
      </w:pPr>
      <w:r>
        <w:rPr>
          <w:rFonts w:hint="eastAsia" w:ascii="仿宋" w:hAnsi="仿宋" w:eastAsia="仿宋"/>
          <w:sz w:val="24"/>
          <w:lang w:val="en-US" w:eastAsia="zh-CN"/>
        </w:rPr>
        <w:t>五、科创成长层企业按照规定应当在年度报告中披露尚未盈利的成因及对公司的影响，在年度报告首页的显著位置提示公司尚未盈利的风险;</w:t>
      </w:r>
      <w:r>
        <w:rPr>
          <w:rFonts w:hint="eastAsia" w:ascii="仿宋" w:hAnsi="仿宋" w:eastAsia="仿宋"/>
          <w:sz w:val="24"/>
          <w:lang w:eastAsia="zh-CN"/>
        </w:rPr>
        <w:t>发生对企业技术创新与研发能力、成长前景或者盈余改善有重大不利影响的风险或者负面事项的，应当及时披露具体情况及其影响</w:t>
      </w:r>
      <w:r>
        <w:rPr>
          <w:rFonts w:hint="eastAsia" w:ascii="仿宋" w:hAnsi="仿宋" w:eastAsia="仿宋"/>
          <w:sz w:val="24"/>
          <w:lang w:val="en-US" w:eastAsia="zh-CN"/>
        </w:rPr>
        <w:t>。投资者需要及时关注企业披露的年度报告及其他公告，持续了解相关风险。</w:t>
      </w:r>
    </w:p>
    <w:p>
      <w:pPr>
        <w:spacing w:line="360" w:lineRule="auto"/>
        <w:ind w:firstLine="482" w:firstLineChars="200"/>
        <w:jc w:val="both"/>
        <w:rPr>
          <w:rFonts w:hint="eastAsia" w:ascii="仿宋" w:hAnsi="仿宋" w:eastAsia="仿宋"/>
          <w:b/>
          <w:bCs/>
          <w:sz w:val="24"/>
          <w:lang w:val="en-US" w:eastAsia="zh-CN"/>
        </w:rPr>
      </w:pPr>
      <w:r>
        <w:rPr>
          <w:rFonts w:hint="eastAsia" w:ascii="仿宋" w:hAnsi="仿宋" w:eastAsia="仿宋"/>
          <w:b/>
          <w:bCs/>
          <w:sz w:val="24"/>
          <w:lang w:val="en-US" w:eastAsia="zh-CN"/>
        </w:rPr>
        <w:t>六、科创成长层建立了层次调整机制，并实行“新老划断”：自《上海证券交易所科创板上市公司自律监管指引第5号——科创成长层》（以下简称《指引》）发布之日起，新注册的科创成长层企业上市后，符合最近两年净利润均为正且累计净利润不低于人民币5000万元，或最近一年净利润为正且营业收入不低于人民币1亿元标准的，将被调出科创成长层；与之不同的是，《指引》发布前已上市且上市后尚未首次实现盈利的科创板企业，上市后首次实现盈利的，将被调出科创成长层。投资者应当知悉科创成长层调整机制及“新老划断”安排，关注企业调出科创成长层前后可能产生的股价波动风险。</w:t>
      </w:r>
    </w:p>
    <w:p>
      <w:pPr>
        <w:spacing w:line="360" w:lineRule="auto"/>
        <w:ind w:firstLine="480" w:firstLineChars="200"/>
        <w:jc w:val="both"/>
        <w:rPr>
          <w:rFonts w:hint="default" w:ascii="仿宋" w:hAnsi="仿宋" w:eastAsia="仿宋"/>
          <w:sz w:val="24"/>
          <w:lang w:val="en-US" w:eastAsia="zh-CN"/>
        </w:rPr>
      </w:pPr>
      <w:r>
        <w:rPr>
          <w:rFonts w:hint="eastAsia" w:ascii="仿宋" w:hAnsi="仿宋" w:eastAsia="仿宋"/>
          <w:sz w:val="24"/>
          <w:lang w:val="en-US" w:eastAsia="zh-CN"/>
        </w:rPr>
        <w:t>七、与已经实现盈利企业不同，投资者可能无法通过现阶段盈利能力直观判断科创成长层企业的商业价值，加之技术研发及商业模式的创新性，科创成长层企业股票的炒作风险也可能相对较高。市场对科创成长层企业有关信息的过度反应，可能导致企业股票在二级市场的价格出现异常波动。投资者应当充分预估科创成长层企业股票的二级市场价格波动风险，审慎作出投资决策。</w:t>
      </w:r>
    </w:p>
    <w:p>
      <w:pPr>
        <w:spacing w:line="360" w:lineRule="auto"/>
        <w:ind w:firstLine="480" w:firstLineChars="200"/>
        <w:jc w:val="both"/>
        <w:rPr>
          <w:rFonts w:hint="eastAsia" w:ascii="仿宋" w:hAnsi="仿宋" w:eastAsia="仿宋"/>
          <w:sz w:val="24"/>
          <w:lang w:val="en-US" w:eastAsia="zh-CN"/>
        </w:rPr>
      </w:pPr>
      <w:r>
        <w:rPr>
          <w:rFonts w:hint="eastAsia" w:ascii="仿宋" w:hAnsi="仿宋" w:eastAsia="仿宋"/>
          <w:sz w:val="24"/>
          <w:lang w:val="en-US" w:eastAsia="zh-CN"/>
        </w:rPr>
        <w:t>八、除了本《风险揭示书》列举的上述风险事项外，投资者还应当关注</w:t>
      </w:r>
      <w:r>
        <w:rPr>
          <w:rFonts w:hint="eastAsia" w:ascii="仿宋" w:hAnsi="仿宋" w:eastAsia="仿宋"/>
          <w:sz w:val="24"/>
        </w:rPr>
        <w:t>《</w:t>
      </w:r>
      <w:r>
        <w:rPr>
          <w:rFonts w:hint="eastAsia" w:ascii="仿宋" w:hAnsi="仿宋" w:eastAsia="仿宋"/>
          <w:sz w:val="24"/>
          <w:lang w:val="en-US" w:eastAsia="zh-CN"/>
        </w:rPr>
        <w:t>科创板</w:t>
      </w:r>
      <w:r>
        <w:rPr>
          <w:rFonts w:hint="eastAsia" w:ascii="仿宋" w:hAnsi="仿宋" w:eastAsia="仿宋"/>
          <w:sz w:val="24"/>
        </w:rPr>
        <w:t>风险揭示书》</w:t>
      </w:r>
      <w:r>
        <w:rPr>
          <w:rFonts w:hint="eastAsia" w:ascii="仿宋" w:hAnsi="仿宋" w:eastAsia="仿宋"/>
          <w:sz w:val="24"/>
          <w:lang w:val="en-US" w:eastAsia="zh-CN"/>
        </w:rPr>
        <w:t>或</w:t>
      </w:r>
      <w:r>
        <w:rPr>
          <w:rFonts w:hint="eastAsia" w:ascii="仿宋" w:hAnsi="仿宋" w:eastAsia="仿宋"/>
          <w:sz w:val="24"/>
        </w:rPr>
        <w:t>《</w:t>
      </w:r>
      <w:r>
        <w:rPr>
          <w:rFonts w:hint="eastAsia" w:ascii="仿宋" w:hAnsi="仿宋" w:eastAsia="仿宋"/>
          <w:sz w:val="24"/>
          <w:lang w:val="en-US" w:eastAsia="zh-CN"/>
        </w:rPr>
        <w:t>科创板融资融券</w:t>
      </w:r>
      <w:r>
        <w:rPr>
          <w:rFonts w:hint="eastAsia" w:ascii="仿宋" w:hAnsi="仿宋" w:eastAsia="仿宋"/>
          <w:sz w:val="24"/>
        </w:rPr>
        <w:t>风险揭示书》</w:t>
      </w:r>
      <w:r>
        <w:rPr>
          <w:rFonts w:hint="eastAsia" w:ascii="仿宋" w:hAnsi="仿宋" w:eastAsia="仿宋"/>
          <w:sz w:val="24"/>
          <w:lang w:val="en-US" w:eastAsia="zh-CN"/>
        </w:rPr>
        <w:t>提示的其他风险事项，全面、审慎判断参与科创成长层股票交易的风险。</w:t>
      </w:r>
    </w:p>
    <w:p>
      <w:pPr>
        <w:spacing w:line="360" w:lineRule="auto"/>
        <w:ind w:firstLine="480" w:firstLineChars="200"/>
        <w:jc w:val="both"/>
        <w:rPr>
          <w:rFonts w:hint="eastAsia" w:ascii="仿宋" w:hAnsi="仿宋" w:eastAsia="仿宋"/>
          <w:sz w:val="24"/>
          <w:lang w:val="en-US" w:eastAsia="zh-CN"/>
        </w:rPr>
      </w:pPr>
      <w:r>
        <w:rPr>
          <w:rFonts w:hint="eastAsia" w:ascii="仿宋" w:hAnsi="仿宋" w:eastAsia="仿宋"/>
          <w:sz w:val="24"/>
          <w:lang w:val="en-US" w:eastAsia="zh-CN"/>
        </w:rPr>
        <w:t>九、科创成长层股票相关法律、行政法规、部门规章、规范性文件（以下简称法律法规）和交易所业务规则，可能根据市场情况进行修改，或者制定新的法律法规和业务规则，投资者应当及时予以关注和了解。</w:t>
      </w:r>
    </w:p>
    <w:p>
      <w:pPr>
        <w:spacing w:line="360" w:lineRule="auto"/>
        <w:rPr>
          <w:rFonts w:hint="eastAsia"/>
          <w:b/>
          <w:bCs/>
        </w:rPr>
      </w:pPr>
    </w:p>
    <w:p>
      <w:pPr>
        <w:spacing w:line="360" w:lineRule="auto"/>
        <w:ind w:firstLine="482" w:firstLineChars="200"/>
        <w:jc w:val="both"/>
        <w:rPr>
          <w:rFonts w:hint="eastAsia" w:ascii="仿宋" w:hAnsi="仿宋" w:eastAsia="仿宋"/>
          <w:b/>
          <w:sz w:val="24"/>
        </w:rPr>
      </w:pPr>
      <w:r>
        <w:rPr>
          <w:rFonts w:hint="eastAsia" w:ascii="仿宋" w:hAnsi="仿宋" w:eastAsia="仿宋"/>
          <w:b/>
          <w:sz w:val="24"/>
        </w:rPr>
        <w:t>特别提示：本《风险揭示书》</w:t>
      </w:r>
      <w:r>
        <w:rPr>
          <w:rFonts w:hint="eastAsia" w:ascii="仿宋" w:hAnsi="仿宋" w:eastAsia="仿宋"/>
          <w:b/>
          <w:sz w:val="24"/>
          <w:lang w:val="en-US" w:eastAsia="zh-CN"/>
        </w:rPr>
        <w:t>的</w:t>
      </w:r>
      <w:r>
        <w:rPr>
          <w:rFonts w:hint="eastAsia" w:ascii="仿宋" w:hAnsi="仿宋" w:eastAsia="仿宋"/>
          <w:b/>
          <w:sz w:val="24"/>
        </w:rPr>
        <w:t>上述风险揭示事项仅为列举性质，未能详尽</w:t>
      </w:r>
      <w:r>
        <w:rPr>
          <w:rFonts w:hint="eastAsia" w:ascii="仿宋" w:hAnsi="仿宋" w:eastAsia="仿宋"/>
          <w:b/>
          <w:sz w:val="24"/>
          <w:lang w:val="en-US" w:eastAsia="zh-CN"/>
        </w:rPr>
        <w:t>载</w:t>
      </w:r>
      <w:r>
        <w:rPr>
          <w:rFonts w:hint="eastAsia" w:ascii="仿宋" w:hAnsi="仿宋" w:eastAsia="仿宋"/>
          <w:b/>
          <w:sz w:val="24"/>
        </w:rPr>
        <w:t>明</w:t>
      </w:r>
      <w:r>
        <w:rPr>
          <w:rFonts w:hint="eastAsia" w:ascii="仿宋" w:hAnsi="仿宋" w:eastAsia="仿宋"/>
          <w:b/>
          <w:bCs/>
          <w:sz w:val="24"/>
          <w:lang w:val="en-US" w:eastAsia="zh-CN"/>
        </w:rPr>
        <w:t>科创成长层股票</w:t>
      </w:r>
      <w:r>
        <w:rPr>
          <w:rFonts w:hint="eastAsia" w:ascii="仿宋" w:hAnsi="仿宋" w:eastAsia="仿宋"/>
          <w:b/>
          <w:sz w:val="24"/>
        </w:rPr>
        <w:t>交易的所有风险，且未来有关法律法规和业务规则修订时可能不会要求投资者重新签署《风险揭示书》</w:t>
      </w:r>
      <w:r>
        <w:rPr>
          <w:rFonts w:hint="eastAsia" w:ascii="仿宋" w:hAnsi="仿宋" w:eastAsia="仿宋"/>
          <w:b/>
          <w:sz w:val="24"/>
          <w:lang w:eastAsia="zh-CN"/>
        </w:rPr>
        <w:t>。</w:t>
      </w:r>
      <w:r>
        <w:rPr>
          <w:rFonts w:hint="eastAsia" w:ascii="仿宋" w:hAnsi="仿宋" w:eastAsia="仿宋"/>
          <w:b/>
          <w:sz w:val="24"/>
        </w:rPr>
        <w:t>投资者在参与</w:t>
      </w:r>
      <w:r>
        <w:rPr>
          <w:rFonts w:hint="eastAsia" w:ascii="仿宋" w:hAnsi="仿宋" w:eastAsia="仿宋"/>
          <w:b/>
          <w:bCs/>
          <w:sz w:val="24"/>
          <w:lang w:val="en-US" w:eastAsia="zh-CN"/>
        </w:rPr>
        <w:t>科创成长层股票</w:t>
      </w:r>
      <w:r>
        <w:rPr>
          <w:rFonts w:hint="eastAsia" w:ascii="仿宋" w:hAnsi="仿宋" w:eastAsia="仿宋"/>
          <w:b/>
          <w:sz w:val="24"/>
        </w:rPr>
        <w:t>交易前，应当认真阅读</w:t>
      </w:r>
      <w:r>
        <w:rPr>
          <w:rFonts w:hint="eastAsia" w:ascii="仿宋" w:hAnsi="仿宋" w:eastAsia="仿宋"/>
          <w:b/>
          <w:sz w:val="24"/>
          <w:lang w:val="en-US" w:eastAsia="zh-CN"/>
        </w:rPr>
        <w:t>并熟悉</w:t>
      </w:r>
      <w:r>
        <w:rPr>
          <w:rFonts w:hint="eastAsia" w:ascii="仿宋" w:hAnsi="仿宋" w:eastAsia="仿宋"/>
          <w:b/>
          <w:sz w:val="24"/>
        </w:rPr>
        <w:t>有关法律法规和交易所业务规则等相关规定</w:t>
      </w:r>
      <w:r>
        <w:rPr>
          <w:rFonts w:hint="eastAsia" w:ascii="仿宋" w:hAnsi="仿宋" w:eastAsia="仿宋"/>
          <w:b/>
          <w:sz w:val="24"/>
          <w:lang w:val="en-US" w:eastAsia="zh-CN"/>
        </w:rPr>
        <w:t>及</w:t>
      </w:r>
      <w:r>
        <w:rPr>
          <w:rFonts w:hint="eastAsia" w:ascii="仿宋" w:hAnsi="仿宋" w:eastAsia="仿宋"/>
          <w:b/>
          <w:sz w:val="24"/>
        </w:rPr>
        <w:t>信息披露公告，对其他可能存在的风险因素也应当有所了解和掌握，并确信自己已做好足够的风险评估</w:t>
      </w:r>
      <w:r>
        <w:rPr>
          <w:rFonts w:hint="eastAsia" w:ascii="仿宋" w:hAnsi="仿宋" w:eastAsia="仿宋"/>
          <w:b/>
          <w:sz w:val="24"/>
          <w:lang w:val="en-US" w:eastAsia="zh-CN"/>
        </w:rPr>
        <w:t>控制</w:t>
      </w:r>
      <w:r>
        <w:rPr>
          <w:rFonts w:hint="eastAsia" w:ascii="仿宋" w:hAnsi="仿宋" w:eastAsia="仿宋"/>
          <w:b/>
          <w:sz w:val="24"/>
        </w:rPr>
        <w:t>与财务安排，避免因参与</w:t>
      </w:r>
      <w:r>
        <w:rPr>
          <w:rFonts w:hint="eastAsia" w:ascii="仿宋" w:hAnsi="仿宋" w:eastAsia="仿宋"/>
          <w:b/>
          <w:bCs/>
          <w:sz w:val="24"/>
          <w:lang w:val="en-US" w:eastAsia="zh-CN"/>
        </w:rPr>
        <w:t>科创成长层股票</w:t>
      </w:r>
      <w:r>
        <w:rPr>
          <w:rFonts w:hint="eastAsia" w:ascii="仿宋" w:hAnsi="仿宋" w:eastAsia="仿宋"/>
          <w:b/>
          <w:sz w:val="24"/>
        </w:rPr>
        <w:t>交易遭受难以承受的</w:t>
      </w:r>
      <w:r>
        <w:rPr>
          <w:rFonts w:hint="eastAsia" w:ascii="仿宋" w:hAnsi="仿宋" w:eastAsia="仿宋"/>
          <w:b/>
          <w:sz w:val="24"/>
          <w:lang w:val="en-US" w:eastAsia="zh-CN"/>
        </w:rPr>
        <w:t>风险</w:t>
      </w:r>
      <w:r>
        <w:rPr>
          <w:rFonts w:hint="eastAsia" w:ascii="仿宋" w:hAnsi="仿宋" w:eastAsia="仿宋"/>
          <w:b/>
          <w:sz w:val="24"/>
        </w:rPr>
        <w:t>。</w:t>
      </w:r>
    </w:p>
    <w:p>
      <w:pPr>
        <w:spacing w:line="360" w:lineRule="auto"/>
        <w:ind w:firstLine="482" w:firstLineChars="200"/>
        <w:jc w:val="both"/>
        <w:rPr>
          <w:rFonts w:hint="eastAsia" w:ascii="仿宋" w:hAnsi="仿宋" w:eastAsia="仿宋"/>
          <w:b/>
          <w:sz w:val="24"/>
          <w:szCs w:val="24"/>
        </w:rPr>
      </w:pPr>
      <w:r>
        <w:rPr>
          <w:rFonts w:hint="eastAsia" w:ascii="仿宋" w:hAnsi="仿宋" w:eastAsia="仿宋"/>
          <w:b/>
          <w:sz w:val="24"/>
          <w:szCs w:val="24"/>
        </w:rPr>
        <w:t>投资者应当充分理解参与</w:t>
      </w:r>
      <w:r>
        <w:rPr>
          <w:rFonts w:hint="eastAsia" w:ascii="仿宋" w:hAnsi="仿宋" w:eastAsia="仿宋"/>
          <w:b/>
          <w:bCs/>
          <w:sz w:val="24"/>
          <w:lang w:val="en-US" w:eastAsia="zh-CN"/>
        </w:rPr>
        <w:t>科创成长层股票</w:t>
      </w:r>
      <w:r>
        <w:rPr>
          <w:rFonts w:hint="eastAsia" w:ascii="仿宋" w:hAnsi="仿宋" w:eastAsia="仿宋"/>
          <w:b/>
          <w:sz w:val="24"/>
          <w:szCs w:val="24"/>
        </w:rPr>
        <w:t>交易应当具备的经济能力、专业知识和投资经验，全面评估自身的经济承受能力、投资经历、产品认知能力、风险控制能力、身体及心理承受能力等，审慎决定是否参与相关业务。</w:t>
      </w:r>
    </w:p>
    <w:p>
      <w:pPr>
        <w:spacing w:line="360" w:lineRule="auto"/>
        <w:ind w:firstLine="482" w:firstLineChars="200"/>
        <w:jc w:val="both"/>
        <w:rPr>
          <w:rFonts w:hint="eastAsia" w:ascii="仿宋" w:hAnsi="仿宋" w:eastAsia="仿宋"/>
          <w:b/>
          <w:sz w:val="24"/>
        </w:rPr>
      </w:pPr>
    </w:p>
    <w:p>
      <w:pPr>
        <w:spacing w:line="360" w:lineRule="auto"/>
        <w:ind w:firstLine="482" w:firstLineChars="200"/>
        <w:jc w:val="both"/>
        <w:rPr>
          <w:rFonts w:hint="eastAsia" w:ascii="仿宋" w:hAnsi="仿宋" w:eastAsia="仿宋"/>
          <w:b/>
          <w:sz w:val="24"/>
        </w:rPr>
      </w:pPr>
      <w:r>
        <w:rPr>
          <w:rFonts w:hint="eastAsia" w:ascii="仿宋" w:hAnsi="仿宋" w:eastAsia="仿宋"/>
          <w:b/>
          <w:sz w:val="24"/>
        </w:rPr>
        <w:t>投资者</w:t>
      </w:r>
      <w:r>
        <w:rPr>
          <w:rFonts w:ascii="仿宋" w:hAnsi="仿宋" w:eastAsia="仿宋"/>
          <w:b/>
          <w:color w:val="auto"/>
          <w:sz w:val="24"/>
          <w:szCs w:val="24"/>
        </w:rPr>
        <w:t>在本《风险揭示书》上签字</w:t>
      </w:r>
      <w:r>
        <w:rPr>
          <w:rFonts w:hint="eastAsia" w:ascii="仿宋" w:hAnsi="仿宋" w:eastAsia="仿宋"/>
          <w:b/>
          <w:color w:val="auto"/>
          <w:sz w:val="24"/>
          <w:szCs w:val="24"/>
        </w:rPr>
        <w:t>或盖章</w:t>
      </w:r>
      <w:r>
        <w:rPr>
          <w:rFonts w:ascii="仿宋" w:hAnsi="仿宋" w:eastAsia="仿宋"/>
          <w:b/>
          <w:color w:val="auto"/>
          <w:sz w:val="24"/>
          <w:szCs w:val="24"/>
        </w:rPr>
        <w:t>，即表明</w:t>
      </w:r>
      <w:r>
        <w:rPr>
          <w:rFonts w:hint="eastAsia" w:ascii="仿宋" w:hAnsi="仿宋" w:eastAsia="仿宋"/>
          <w:b/>
          <w:sz w:val="24"/>
        </w:rPr>
        <w:t>已阅读并完全理解《风险揭示书》的内容，愿意</w:t>
      </w:r>
      <w:r>
        <w:rPr>
          <w:rFonts w:hint="eastAsia" w:ascii="仿宋" w:hAnsi="仿宋" w:eastAsia="仿宋"/>
          <w:b/>
          <w:sz w:val="24"/>
          <w:lang w:val="en-US" w:eastAsia="zh-CN"/>
        </w:rPr>
        <w:t>自行</w:t>
      </w:r>
      <w:r>
        <w:rPr>
          <w:rFonts w:hint="eastAsia" w:ascii="仿宋" w:hAnsi="仿宋" w:eastAsia="仿宋"/>
          <w:b/>
          <w:sz w:val="24"/>
        </w:rPr>
        <w:t>承担参与</w:t>
      </w:r>
      <w:r>
        <w:rPr>
          <w:rFonts w:hint="eastAsia" w:ascii="仿宋" w:hAnsi="仿宋" w:eastAsia="仿宋"/>
          <w:b/>
          <w:bCs/>
          <w:sz w:val="24"/>
          <w:lang w:val="en-US" w:eastAsia="zh-CN"/>
        </w:rPr>
        <w:t>科创成长层股票</w:t>
      </w:r>
      <w:r>
        <w:rPr>
          <w:rFonts w:hint="eastAsia" w:ascii="仿宋" w:hAnsi="仿宋" w:eastAsia="仿宋"/>
          <w:b/>
          <w:sz w:val="24"/>
        </w:rPr>
        <w:t>交易的风险和损失。</w:t>
      </w:r>
    </w:p>
    <w:p>
      <w:pPr>
        <w:spacing w:line="360" w:lineRule="auto"/>
        <w:ind w:firstLine="482" w:firstLineChars="200"/>
        <w:jc w:val="both"/>
        <w:rPr>
          <w:rFonts w:hint="eastAsia" w:ascii="仿宋" w:hAnsi="仿宋" w:eastAsia="仿宋"/>
          <w:b/>
          <w:sz w:val="24"/>
        </w:rPr>
      </w:pP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p>
    <w:p>
      <w:pPr>
        <w:keepNext w:val="0"/>
        <w:keepLines w:val="0"/>
        <w:pageBreakBefore w:val="0"/>
        <w:kinsoku/>
        <w:wordWrap/>
        <w:overflowPunct/>
        <w:topLinePunct w:val="0"/>
        <w:bidi w:val="0"/>
        <w:snapToGrid/>
        <w:spacing w:line="480" w:lineRule="auto"/>
        <w:ind w:left="-850" w:leftChars="-405" w:firstLine="840" w:firstLineChars="350"/>
        <w:textAlignment w:val="auto"/>
        <w:rPr>
          <w:rFonts w:ascii="仿宋" w:hAnsi="仿宋" w:eastAsia="仿宋"/>
          <w:color w:val="000000"/>
          <w:kern w:val="0"/>
          <w:sz w:val="24"/>
        </w:rPr>
      </w:pPr>
      <w:r>
        <w:rPr>
          <w:rFonts w:hint="eastAsia" w:ascii="仿宋" w:hAnsi="仿宋" w:eastAsia="仿宋"/>
          <w:color w:val="000000"/>
          <w:kern w:val="0"/>
          <w:sz w:val="24"/>
        </w:rPr>
        <w:t>客户资金账号：</w:t>
      </w:r>
    </w:p>
    <w:p>
      <w:pPr>
        <w:keepNext w:val="0"/>
        <w:keepLines w:val="0"/>
        <w:pageBreakBefore w:val="0"/>
        <w:kinsoku/>
        <w:wordWrap/>
        <w:overflowPunct/>
        <w:topLinePunct w:val="0"/>
        <w:bidi w:val="0"/>
        <w:snapToGrid/>
        <w:spacing w:line="480" w:lineRule="auto"/>
        <w:ind w:left="-850" w:leftChars="-405" w:firstLine="840" w:firstLineChars="350"/>
        <w:textAlignment w:val="auto"/>
        <w:rPr>
          <w:rFonts w:ascii="仿宋" w:hAnsi="仿宋" w:eastAsia="仿宋"/>
          <w:color w:val="000000"/>
          <w:kern w:val="0"/>
          <w:sz w:val="24"/>
        </w:rPr>
      </w:pPr>
      <w:r>
        <w:rPr>
          <w:rFonts w:hint="eastAsia" w:ascii="仿宋" w:hAnsi="仿宋" w:eastAsia="仿宋"/>
          <w:color w:val="000000"/>
          <w:kern w:val="0"/>
          <w:sz w:val="24"/>
        </w:rPr>
        <w:t xml:space="preserve">个人客户（签字）：  </w:t>
      </w:r>
    </w:p>
    <w:p>
      <w:pPr>
        <w:pStyle w:val="7"/>
        <w:keepNext w:val="0"/>
        <w:keepLines w:val="0"/>
        <w:pageBreakBefore w:val="0"/>
        <w:kinsoku/>
        <w:wordWrap/>
        <w:overflowPunct/>
        <w:topLinePunct w:val="0"/>
        <w:bidi w:val="0"/>
        <w:snapToGrid/>
        <w:spacing w:line="480" w:lineRule="auto"/>
        <w:textAlignment w:val="auto"/>
        <w:rPr>
          <w:rFonts w:ascii="仿宋" w:hAnsi="仿宋" w:eastAsia="仿宋"/>
        </w:rPr>
      </w:pPr>
      <w:r>
        <w:rPr>
          <w:rFonts w:hint="eastAsia" w:ascii="仿宋" w:hAnsi="仿宋" w:eastAsia="仿宋"/>
        </w:rPr>
        <w:t>机构客户或证券投资产品管理人（公章）：</w:t>
      </w:r>
    </w:p>
    <w:p>
      <w:pPr>
        <w:keepNext w:val="0"/>
        <w:keepLines w:val="0"/>
        <w:pageBreakBefore w:val="0"/>
        <w:kinsoku/>
        <w:wordWrap/>
        <w:overflowPunct/>
        <w:topLinePunct w:val="0"/>
        <w:bidi w:val="0"/>
        <w:snapToGrid/>
        <w:spacing w:line="480" w:lineRule="auto"/>
        <w:ind w:left="-850" w:leftChars="-405" w:firstLine="840" w:firstLineChars="350"/>
        <w:textAlignment w:val="auto"/>
        <w:rPr>
          <w:rFonts w:ascii="仿宋" w:hAnsi="仿宋" w:eastAsia="仿宋"/>
          <w:sz w:val="24"/>
        </w:rPr>
      </w:pPr>
      <w:r>
        <w:rPr>
          <w:rFonts w:hint="eastAsia" w:ascii="仿宋" w:hAnsi="仿宋" w:eastAsia="仿宋"/>
          <w:sz w:val="24"/>
        </w:rPr>
        <w:t>法定代表人或授权代表签字：</w:t>
      </w:r>
    </w:p>
    <w:p>
      <w:pPr>
        <w:keepNext w:val="0"/>
        <w:keepLines w:val="0"/>
        <w:pageBreakBefore w:val="0"/>
        <w:widowControl/>
        <w:kinsoku/>
        <w:wordWrap/>
        <w:overflowPunct/>
        <w:topLinePunct w:val="0"/>
        <w:autoSpaceDE/>
        <w:autoSpaceDN/>
        <w:bidi w:val="0"/>
        <w:adjustRightInd/>
        <w:snapToGrid/>
        <w:spacing w:line="480" w:lineRule="auto"/>
        <w:ind w:left="-850" w:leftChars="-405" w:firstLine="840" w:firstLineChars="350"/>
        <w:textAlignment w:val="auto"/>
        <w:rPr>
          <w:rFonts w:ascii="仿宋" w:hAnsi="仿宋" w:eastAsia="仿宋"/>
          <w:sz w:val="24"/>
        </w:rPr>
      </w:pPr>
    </w:p>
    <w:p>
      <w:pPr>
        <w:keepNext w:val="0"/>
        <w:keepLines w:val="0"/>
        <w:pageBreakBefore w:val="0"/>
        <w:widowControl/>
        <w:kinsoku/>
        <w:wordWrap/>
        <w:overflowPunct/>
        <w:topLinePunct w:val="0"/>
        <w:autoSpaceDE/>
        <w:autoSpaceDN/>
        <w:bidi w:val="0"/>
        <w:adjustRightInd/>
        <w:snapToGrid/>
        <w:spacing w:line="480" w:lineRule="auto"/>
        <w:textAlignment w:val="auto"/>
      </w:pPr>
      <w:r>
        <w:rPr>
          <w:rFonts w:hint="eastAsia" w:ascii="仿宋" w:hAnsi="仿宋" w:eastAsia="仿宋"/>
          <w:sz w:val="24"/>
        </w:rPr>
        <w:t>　　　　　　　　　　　　　　　　　　　 签署日期：     年    月    日</w:t>
      </w:r>
    </w:p>
    <w:p>
      <w:pPr>
        <w:jc w:val="left"/>
        <w:rPr>
          <w:rFonts w:hint="default" w:ascii="Segoe UI" w:hAnsi="Segoe UI" w:eastAsia="Segoe UI" w:cs="Segoe UI"/>
          <w:i w:val="0"/>
          <w:iCs w:val="0"/>
          <w:caps w:val="0"/>
          <w:color w:val="4D4D4D"/>
          <w:spacing w:val="0"/>
          <w:sz w:val="17"/>
          <w:szCs w:val="17"/>
          <w:shd w:val="clear" w:fill="FFFFFF"/>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85467"/>
    <w:rsid w:val="0D903407"/>
    <w:rsid w:val="1A093A4F"/>
    <w:rsid w:val="25AB7279"/>
    <w:rsid w:val="2BF47B61"/>
    <w:rsid w:val="49FB5578"/>
    <w:rsid w:val="61B46434"/>
    <w:rsid w:val="6322118B"/>
    <w:rsid w:val="6E763B5B"/>
    <w:rsid w:val="72AA1977"/>
    <w:rsid w:val="7AD11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spacing w:line="240" w:lineRule="auto"/>
      <w:ind w:firstLine="420"/>
    </w:pPr>
    <w:rPr>
      <w:rFonts w:ascii="Calibri" w:hAnsi="Calibri" w:eastAsia="宋体" w:cs="Times New Roman"/>
      <w:kern w:val="2"/>
      <w:sz w:val="21"/>
      <w:szCs w:val="24"/>
    </w:rPr>
  </w:style>
  <w:style w:type="paragraph" w:customStyle="1" w:styleId="7">
    <w:name w:val="Default"/>
    <w:qFormat/>
    <w:uiPriority w:val="0"/>
    <w:pPr>
      <w:widowControl w:val="0"/>
      <w:autoSpaceDE w:val="0"/>
      <w:autoSpaceDN w:val="0"/>
      <w:adjustRightInd w:val="0"/>
    </w:pPr>
    <w:rPr>
      <w:rFonts w:ascii="宋体"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14</TotalTime>
  <ScaleCrop>false</ScaleCrop>
  <LinksUpToDate>false</LinksUpToDate>
  <CharactersWithSpaces>0</CharactersWithSpaces>
  <Application>WPS Office_11.8.0.16969_F1E327BC-269C-435d-A152-05C5408002CA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2025-07-14T05:22:00Z</dcterms:created>
  <dc:creator>020251</dc:creator>
  <cp:lastModifiedBy>020251</cp:lastModifiedBy>
  <dcterms:modified xsi:type="dcterms:W3CDTF">2025-07-16T07:06:17Z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2052-11.8.0.16969</vt:lpwstr>
  </property>
  <property fmtid="{D5CDD505-2E9C-101B-9397-08002B2CF9AE}" pid="3" name="ICV">
    <vt:lpwstr>ECBC1E5BEB8349248AD1D3D38BB22975</vt:lpwstr>
  </property>
</Properties>
</file>